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lang w:val="en-US" w:eastAsia="zh-CN"/>
        </w:rPr>
      </w:pPr>
    </w:p>
    <w:tbl>
      <w:tblPr>
        <w:tblStyle w:val="4"/>
        <w:tblW w:w="10889" w:type="dxa"/>
        <w:tblInd w:w="-1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5742"/>
        <w:gridCol w:w="1025"/>
        <w:gridCol w:w="1025"/>
        <w:gridCol w:w="1025"/>
        <w:gridCol w:w="1025"/>
        <w:gridCol w:w="102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trPr>
        <w:tc>
          <w:tcPr>
            <w:tcW w:w="93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15"/>
                <w:szCs w:val="15"/>
                <w:vertAlign w:val="baseline"/>
                <w:lang w:val="en-US" w:eastAsia="zh-CN"/>
              </w:rPr>
            </w:pPr>
            <w:r>
              <w:rPr>
                <w:rFonts w:hint="eastAsia" w:ascii="宋体" w:hAnsi="宋体" w:eastAsia="宋体" w:cs="宋体"/>
                <w:b/>
                <w:bCs/>
                <w:color w:val="auto"/>
                <w:sz w:val="24"/>
                <w:szCs w:val="24"/>
                <w:vertAlign w:val="baseline"/>
                <w:lang w:val="en-US" w:eastAsia="zh-CN"/>
              </w:rPr>
              <w:t>Preliminary Inquiry for Cooperation Intents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134" w:hRule="exact"/>
        </w:trPr>
        <w:tc>
          <w:tcPr>
            <w:tcW w:w="93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Fonts w:ascii="Arial" w:hAnsi="Arial" w:eastAsia="宋体" w:cs="Arial"/>
                <w:i w:val="0"/>
                <w:caps w:val="0"/>
                <w:color w:val="222222"/>
                <w:spacing w:val="0"/>
                <w:sz w:val="15"/>
                <w:szCs w:val="15"/>
                <w:shd w:val="clear" w:fill="FFFFFF"/>
              </w:rPr>
              <w:t>We’re very glad to make connections with your company. outlet (china)</w:t>
            </w:r>
            <w:bookmarkStart w:id="0" w:name="_GoBack"/>
            <w:bookmarkEnd w:id="0"/>
            <w:r>
              <w:rPr>
                <w:rFonts w:ascii="Arial" w:hAnsi="Arial" w:eastAsia="宋体" w:cs="Arial"/>
                <w:i w:val="0"/>
                <w:caps w:val="0"/>
                <w:color w:val="222222"/>
                <w:spacing w:val="0"/>
                <w:sz w:val="15"/>
                <w:szCs w:val="15"/>
                <w:shd w:val="clear" w:fill="FFFFFF"/>
              </w:rPr>
              <w:t xml:space="preserve"> looks forward to having a pleasant cooperation with your company. We will study the conditions in the region of your company to facilitate further communication. Please provide relevant information according to the outline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Style w:val="6"/>
                <w:rFonts w:ascii="Arial" w:hAnsi="Arial" w:eastAsia="宋体" w:cs="Arial"/>
                <w:i w:val="0"/>
                <w:caps w:val="0"/>
                <w:color w:val="222222"/>
                <w:spacing w:val="0"/>
                <w:sz w:val="15"/>
                <w:szCs w:val="15"/>
              </w:rPr>
              <w:t>Basic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Company Name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Address</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Contact</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Title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Contact Number</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Fax</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E-MAIL</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Style w:val="6"/>
                <w:rFonts w:ascii="Arial" w:hAnsi="Arial" w:eastAsia="宋体" w:cs="Arial"/>
                <w:i w:val="0"/>
                <w:caps w:val="0"/>
                <w:color w:val="222222"/>
                <w:spacing w:val="0"/>
                <w:sz w:val="15"/>
                <w:szCs w:val="15"/>
              </w:rPr>
              <w:t>Regional Profiles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Fonts w:ascii="Arial" w:hAnsi="Arial" w:eastAsia="宋体" w:cs="Arial"/>
                <w:i w:val="0"/>
                <w:caps w:val="0"/>
                <w:color w:val="222222"/>
                <w:spacing w:val="0"/>
                <w:sz w:val="15"/>
                <w:szCs w:val="15"/>
                <w:shd w:val="clear" w:fill="FFFFFF"/>
              </w:rPr>
              <w:t>City Introduction</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Style w:val="6"/>
                <w:rFonts w:hint="eastAsia" w:ascii="Arial" w:hAnsi="Arial" w:eastAsia="宋体" w:cs="Arial"/>
                <w:i w:val="0"/>
                <w:caps w:val="0"/>
                <w:color w:val="222222"/>
                <w:spacing w:val="0"/>
                <w:sz w:val="15"/>
                <w:szCs w:val="15"/>
                <w:lang w:val="en-US" w:eastAsia="zh-CN"/>
              </w:rPr>
              <w:t>GDP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Year</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4</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Total GDPs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GDP growth rates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Style w:val="6"/>
                <w:rFonts w:ascii="Arial" w:hAnsi="Arial" w:eastAsia="宋体" w:cs="Arial"/>
                <w:i w:val="0"/>
                <w:caps w:val="0"/>
                <w:color w:val="222222"/>
                <w:spacing w:val="0"/>
                <w:sz w:val="15"/>
                <w:szCs w:val="15"/>
              </w:rPr>
              <w:t>Industrial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Year</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4</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GDPs of primary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Proportions of primary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GDPs of secondary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Proportions of secondary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GDPs of tertiary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bCs/>
                <w:color w:val="0000FF"/>
                <w:sz w:val="15"/>
                <w:szCs w:val="15"/>
                <w:vertAlign w:val="baseline"/>
                <w:lang w:val="en-US"/>
              </w:rPr>
            </w:pPr>
            <w:r>
              <w:rPr>
                <w:rFonts w:hint="default" w:ascii="Arial" w:hAnsi="Arial" w:eastAsia="宋体" w:cs="Arial"/>
                <w:i w:val="0"/>
                <w:caps w:val="0"/>
                <w:color w:val="222222"/>
                <w:spacing w:val="0"/>
                <w:kern w:val="0"/>
                <w:sz w:val="15"/>
                <w:szCs w:val="15"/>
                <w:lang w:val="en-US" w:eastAsia="zh-CN" w:bidi="ar"/>
              </w:rPr>
              <w:t>Proportions of tertiary industry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15"/>
                <w:szCs w:val="15"/>
                <w:vertAlign w:val="baseline"/>
                <w:lang w:val="en-US" w:eastAsia="zh-CN"/>
              </w:rPr>
            </w:pPr>
            <w:r>
              <w:rPr>
                <w:rStyle w:val="6"/>
                <w:rFonts w:ascii="Arial" w:hAnsi="Arial" w:eastAsia="宋体" w:cs="Arial"/>
                <w:i w:val="0"/>
                <w:caps w:val="0"/>
                <w:color w:val="222222"/>
                <w:spacing w:val="0"/>
                <w:sz w:val="15"/>
                <w:szCs w:val="15"/>
              </w:rPr>
              <w:t>Social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Year</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4</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Total retail sales of consumer goods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Growth rates in total retail sales of consumer goods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Disposable Income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Year</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4</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Disposable incomes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Disposable income growth rates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Population in the urban area</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Population within a 10 km radius of the urban area</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Population within a 20 km radius of the urban area</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Population within a 50 km radius of the urban area</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Population within a 100 km radius of the urban area</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Tourism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Year</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4</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hint="eastAsia" w:ascii="宋体" w:hAnsi="宋体" w:eastAsia="宋体" w:cs="宋体"/>
                <w:b w:val="0"/>
                <w:bCs w:val="0"/>
                <w:color w:val="auto"/>
                <w:sz w:val="15"/>
                <w:szCs w:val="15"/>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number of inbound tourists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Growth rates in the number of inbound tourists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Revenues from inbound tourism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Growth rates in the revenue from inbound tourism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Per capita consumptions of inbound tourism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Growth rates in per capita consumption of inbound tourism over the past five years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Introduction to local tourist resources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Transit express highway and its entrance and exit</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Distance from the nearest airport</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Flights of the nearest airport</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Ports</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Traffic conditions around the intended spot/project</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Supporting Facilities in the Scope of 5km to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School</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Hospital</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Bank and postal office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Government agencies</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Others</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Commercial Facilities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Commercial Facilities in the Scope of 1km to the Intended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Project</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Businesses</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scale</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Consumer Group</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Property Rental/Selling Price</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Annual Sales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1</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2</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3</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Commercial Facilities within 5km of the Intended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Project</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Businesses</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Scale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Consumer Group</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Property Rental/Selling Price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Annual Sales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1</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2</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3</w:t>
            </w: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Commercial Facilities in the Scope of 10km to the Intended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Project</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Businesses</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Scale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Consumer Group</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Property Rental/Selling Price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Annual Sales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1</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2</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3</w:t>
            </w: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Commercial Facilities in the Scope of 20km to the Intended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Project</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Businesses</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scale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Consumer Group</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Property Rental/Selling Price</w:t>
            </w:r>
          </w:p>
        </w:tc>
        <w:tc>
          <w:tcPr>
            <w:tcW w:w="935" w:type="dxa"/>
            <w:vAlign w:val="center"/>
          </w:tcPr>
          <w:p>
            <w:pPr>
              <w:keepNext w:val="0"/>
              <w:keepLines w:val="0"/>
              <w:widowControl/>
              <w:suppressLineNumbers w:val="0"/>
              <w:ind w:left="0" w:leftChars="0" w:firstLine="0" w:firstLineChars="0"/>
              <w:jc w:val="center"/>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Annual Sales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1</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2</w:t>
            </w: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c>
          <w:tcPr>
            <w:tcW w:w="9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Facility 3</w:t>
            </w: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c>
          <w:tcPr>
            <w:tcW w:w="935" w:type="dxa"/>
            <w:vAlign w:val="center"/>
          </w:tcPr>
          <w:p>
            <w:pPr>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Relevant Planning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Land use nature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Area</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Plot ratio</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Height permitted</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Red line receding scope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Demolition/land acquisition condition</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Seven accesses and site leveling</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Supporting planning condition</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Description of the Intended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9" w:hRule="exact"/>
        </w:trPr>
        <w:tc>
          <w:tcPr>
            <w:tcW w:w="52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Text description of the specific position of the project site</w:t>
            </w:r>
          </w:p>
        </w:tc>
        <w:tc>
          <w:tcPr>
            <w:tcW w:w="93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Current status of the project site (measured drawing in electronic form, the contour line accuracy up to 1m, containing natural condition, key tree species, and progress of works at present)</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Red line of the project site (electronic CAD)</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The project’s planning and design conditions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The current status and planning condition of land for military use in the project site (including the current heights and the planned heights of buildings in the land for military use)</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Land Planning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overall planning of the project site (containing texts and planning drawings)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District planning in the place of the project</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current land planning of the project site (the planning of Land and Resources Bureau)</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regulatory planning of the project site at present</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The adjustment possibility and conditions of the regulatory planning of the project site and the time required</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Fonts w:ascii="Arial" w:hAnsi="Arial" w:eastAsia="宋体" w:cs="Arial"/>
                <w:i w:val="0"/>
                <w:caps w:val="0"/>
                <w:color w:val="222222"/>
                <w:spacing w:val="0"/>
                <w:sz w:val="15"/>
                <w:szCs w:val="15"/>
                <w:shd w:val="clear" w:fill="FFFFFF"/>
              </w:rPr>
              <w:t>Special-purpose planning in the region of the project site includes: the planning of city transportation system, the planning of municipal public utilities, the comprehensive planning of urban engineering pipeline, the vertical planning, the planning of urban disaster prevention system, the planning of urban green landscaping system, and the protection planning of urban historical and cultural heritages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City planning standard” or “administrative provisions” in the region</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Humane and geographic conditions in the place of the project, including geological condition, soil condition, climatic characteristics, vegetation characters, water quality and local living habits.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Approval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approving and adjustment procedures for detailed planning of construction, including required information, depth on planning drawing, and drawing requirements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The approving and adjustment procedures for buildings, including required information, depth on planning drawing, and drawing requirements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Restrictive Conditions from Governmental Functional Sectors on Project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Land sector</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Planning sector</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Construction sector</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Water conservancy sector</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Forestry sector</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Other relevant sectors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Preferential Policies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Preferential policies</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Other required information</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Urban traffic map</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5235" w:type="dxa"/>
            <w:vAlign w:val="center"/>
          </w:tcPr>
          <w:p>
            <w:pPr>
              <w:keepNext w:val="0"/>
              <w:keepLines w:val="0"/>
              <w:widowControl/>
              <w:suppressLineNumbers w:val="0"/>
              <w:shd w:val="clear" w:fill="FFFFFF"/>
              <w:ind w:left="0" w:leftChars="0" w:firstLine="0" w:firstLineChars="0"/>
              <w:jc w:val="left"/>
              <w:rPr>
                <w:rFonts w:hint="eastAsia" w:ascii="宋体" w:hAnsi="宋体" w:eastAsia="宋体" w:cs="宋体"/>
                <w:b w:val="0"/>
                <w:bCs w:val="0"/>
                <w:color w:val="auto"/>
                <w:sz w:val="15"/>
                <w:szCs w:val="15"/>
                <w:vertAlign w:val="baseline"/>
                <w:lang w:val="en-US" w:eastAsia="zh-CN"/>
              </w:rPr>
            </w:pPr>
            <w:r>
              <w:rPr>
                <w:rFonts w:hint="default" w:ascii="Arial" w:hAnsi="Arial" w:eastAsia="宋体" w:cs="Arial"/>
                <w:i w:val="0"/>
                <w:caps w:val="0"/>
                <w:color w:val="222222"/>
                <w:spacing w:val="0"/>
                <w:kern w:val="0"/>
                <w:sz w:val="15"/>
                <w:szCs w:val="15"/>
                <w:lang w:val="en-US" w:eastAsia="zh-CN" w:bidi="ar"/>
              </w:rPr>
              <w:t>Urban tourism map</w:t>
            </w:r>
          </w:p>
        </w:tc>
        <w:tc>
          <w:tcPr>
            <w:tcW w:w="93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r>
              <w:rPr>
                <w:rStyle w:val="6"/>
                <w:rFonts w:ascii="Arial" w:hAnsi="Arial" w:eastAsia="宋体" w:cs="Arial"/>
                <w:i w:val="0"/>
                <w:caps w:val="0"/>
                <w:color w:val="222222"/>
                <w:spacing w:val="0"/>
                <w:sz w:val="15"/>
                <w:szCs w:val="15"/>
              </w:rPr>
              <w:t>Other Information to Be Supplemented (As Your Company Deems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369" w:hRule="exact"/>
        </w:trPr>
        <w:tc>
          <w:tcPr>
            <w:tcW w:w="93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color w:val="0000FF"/>
          <w:sz w:val="28"/>
          <w:szCs w:val="28"/>
        </w:rPr>
      </w:pPr>
    </w:p>
    <w:p>
      <w:pPr>
        <w:keepNext w:val="0"/>
        <w:keepLines w:val="0"/>
        <w:widowControl/>
        <w:suppressLineNumbers w:val="0"/>
        <w:jc w:val="left"/>
      </w:pP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YWM2MTc5NmViMmQ5MjdlZGU5MzI5YTc4NDY1OTQifQ=="/>
  </w:docVars>
  <w:rsids>
    <w:rsidRoot w:val="3339792C"/>
    <w:rsid w:val="014F2BE3"/>
    <w:rsid w:val="0BD90CA1"/>
    <w:rsid w:val="3339792C"/>
    <w:rsid w:val="517E1358"/>
    <w:rsid w:val="670B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842</Words>
  <Characters>4698</Characters>
  <Lines>0</Lines>
  <Paragraphs>0</Paragraphs>
  <TotalTime>5</TotalTime>
  <ScaleCrop>false</ScaleCrop>
  <LinksUpToDate>false</LinksUpToDate>
  <CharactersWithSpaces>5375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2021-02-19T05:33:00Z</dcterms:created>
  <dc:creator>高壯壯</dc:creator>
  <cp:lastModifiedBy>张思凡</cp:lastModifiedBy>
  <dcterms:modified xsi:type="dcterms:W3CDTF">2022-06-24T02:50:55Z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4E257093874246E0B4AA9D5A65E3A129</vt:lpwstr>
  </property>
</Properties>
</file>